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Жители Башкирии могут оформить перерасчёт платы за вывоз мусора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феврале жителям городов и районов поступили квитанции за новую коммунальную услугу - обращение с твёрдыми коммунальными отходами (ТКО). 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Некоторые абоненты заметили несоответствие данных, указанных в платёжках, с реальным показателям. В частности, может не совпадать информация о количестве человек, прописанных в жилом помещении. В подобных случаях необходимо обратиться к региональному оператору с заявлением о необходимости сделать перерасчёт. Тогда в следующем месяце придёт платёж с вычетом суммы, которая была начислена ошибочно.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Жители городов и районов, относящихся к зоне №2, для перерасчёта должны отправить регоператору ООО «Дюртюлимелиоводстрой» копию паспорта, адрес прописки, и справку о составе семьи или о временной регистрации (предоставляет управляющая компания или администрация сельсовета). Сделать это можно любым удобным способом: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 электронной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6"/>
            <w:szCs w:val="26"/>
            <w:u w:val="single"/>
            <w:rtl w:val="0"/>
          </w:rPr>
          <w:t xml:space="preserve">abonent@dmsrb.ru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указанной в квитанции за электроэнергию;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«Почтой России» по адресу: 452308, Республика Башкортостан, Дюртюлинский район, с . Иванаево, ул. Промзона, д. 18/1, на имя руководителя Юдинцева Е.Н.;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обратившись с паспортом лично в ближайший офис Энергосбытовой компании Башкортостана (ЭСКБ), где вам предложат написать заявление.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настоящее время жители оплачивают услугу по обращению с ТКО исходя из ФАКТИЧЕСКИ зарегистрированного количества человек. Далее обращаются через окно ЭСКБ для осуществления перерасчета и актуализации базы данных регионального оператора.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офисах ЭСКБ можно по желанию оформить договор с региональным оператором ООО «Дюртюлимелиоводстрой». Для этого необходимо иметь с собой паспорт, ИНН, справку о составе семьи и свидетельство о регистрации собственности, если таковое имеется.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Условия перерасчёта платы за коммунальные услуги, в том числе за ТКО, утверждены постановлением Правительства РФ № 354. Срок рассмотрения заявлений – 30 дней.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Напомним, Региональный оператор ООО «Дюртюлимелиоводстрой» отвечает за обращение с твердыми коммунальными отходами в зоне №2, в которую входят ГО г. Агидель, ГО г. Нефтекамск, Аскинский, Балтаческий, Бирский, Бураевский, Дюртюлинский, Илишевский, Калтасинский, Караидельский, Краснокамский, Мишкинский, Татышлинский, Янальский районы.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tbl>
    <w:tblPr>
      <w:tblStyle w:val="Table1"/>
      <w:tblW w:w="1005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85"/>
      <w:gridCol w:w="2564"/>
      <w:gridCol w:w="3104"/>
      <w:tblGridChange w:id="0">
        <w:tblGrid>
          <w:gridCol w:w="4385"/>
          <w:gridCol w:w="2564"/>
          <w:gridCol w:w="3104"/>
        </w:tblGrid>
      </w:tblGridChange>
    </w:tblGrid>
    <w:tr>
      <w:trPr>
        <w:trHeight w:val="1960" w:hRule="atLeast"/>
      </w:trPr>
      <w:tc>
        <w:tcPr/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2249170" cy="32893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17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Общество с ограниченной ответственностью «Дюртюлимелиоводстройт»</w:t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Региональный оператор по обращению с твердыми коммунальными отходами в зонах деятельности регионального оператора № 2, № 4+  Республики Башкортостан</w:t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www.dmsrb.ru</w:t>
          </w:r>
        </w:p>
      </w:tc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ООО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«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Дюртюлимелиоводстрой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»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452308, Республика Башкортостан, Дюртюлинский район, с.Иванаево, 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Ул. Промышленная  зона. д. 18/1, ОГРН 1020201758180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ИНН 0260007311 КПП 026001001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office@dmsrb.ru</w:t>
          </w:r>
        </w:p>
      </w:tc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Р/с 40702810206050100317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в Башкирском отделении № 8598 ПАО Сбербанк России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к/с 30101810300000000601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0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БИК 048073601</w:t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11F3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794DF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794DF4"/>
  </w:style>
  <w:style w:type="paragraph" w:styleId="a5">
    <w:name w:val="footer"/>
    <w:basedOn w:val="a"/>
    <w:link w:val="a6"/>
    <w:uiPriority w:val="99"/>
    <w:unhideWhenUsed w:val="1"/>
    <w:rsid w:val="00794DF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794DF4"/>
  </w:style>
  <w:style w:type="table" w:styleId="a7">
    <w:name w:val="Table Grid"/>
    <w:basedOn w:val="a1"/>
    <w:uiPriority w:val="39"/>
    <w:rsid w:val="00E61FD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F73A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F73AC8"/>
    <w:rPr>
      <w:rFonts w:ascii="Tahoma" w:cs="Tahoma" w:hAnsi="Tahoma"/>
      <w:sz w:val="16"/>
      <w:szCs w:val="16"/>
    </w:rPr>
  </w:style>
  <w:style w:type="character" w:styleId="aa">
    <w:name w:val="Hyperlink"/>
    <w:basedOn w:val="a0"/>
    <w:uiPriority w:val="99"/>
    <w:unhideWhenUsed w:val="1"/>
    <w:rsid w:val="00A4525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onent@dmsrb.r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2018-06-08T10:06:00Z</dcterms:created>
  <dc:creator>Пользователь</dc:creator>
</cp:coreProperties>
</file>